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4B" w:rsidRDefault="00E24BC9">
      <w:pPr>
        <w:spacing w:after="200"/>
        <w:rPr>
          <w:rFonts w:ascii="Times New Roman" w:eastAsia="Times New Roman" w:hAnsi="Times New Roman" w:cs="Times New Roman"/>
          <w:b/>
          <w:sz w:val="28"/>
          <w:szCs w:val="28"/>
        </w:rPr>
      </w:pPr>
      <w:bookmarkStart w:id="0" w:name="_GoBack"/>
      <w:bookmarkEnd w:id="0"/>
      <w:r>
        <w:rPr>
          <w:b/>
          <w:sz w:val="30"/>
          <w:szCs w:val="30"/>
        </w:rPr>
        <w:t xml:space="preserve">                           </w:t>
      </w:r>
      <w:r>
        <w:rPr>
          <w:rFonts w:ascii="Times New Roman" w:eastAsia="Times New Roman" w:hAnsi="Times New Roman" w:cs="Times New Roman"/>
          <w:b/>
          <w:sz w:val="28"/>
          <w:szCs w:val="28"/>
        </w:rPr>
        <w:t>Al-Farabi Kazakh National University</w:t>
      </w:r>
    </w:p>
    <w:p w:rsidR="00D84D4B" w:rsidRDefault="00E24BC9">
      <w:pPr>
        <w:shd w:val="clear" w:color="auto" w:fill="FFFFFF"/>
        <w:spacing w:after="2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Faculty of Medicine and Healthcare, Higher School of Medicine</w:t>
      </w:r>
    </w:p>
    <w:p w:rsidR="00D84D4B" w:rsidRDefault="00E24BC9">
      <w:pPr>
        <w:shd w:val="clear" w:color="auto" w:fill="FFFFFF"/>
        <w:spacing w:after="20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Department of </w:t>
      </w:r>
      <w:r>
        <w:rPr>
          <w:rFonts w:ascii="Times New Roman" w:eastAsia="Times New Roman" w:hAnsi="Times New Roman" w:cs="Times New Roman"/>
          <w:sz w:val="28"/>
          <w:szCs w:val="28"/>
        </w:rPr>
        <w:t>​</w:t>
      </w:r>
      <w:r>
        <w:rPr>
          <w:rFonts w:ascii="Times New Roman" w:eastAsia="Times New Roman" w:hAnsi="Times New Roman" w:cs="Times New Roman"/>
          <w:b/>
          <w:color w:val="212121"/>
          <w:sz w:val="28"/>
          <w:szCs w:val="28"/>
        </w:rPr>
        <w:t>Fundamental Medicine</w:t>
      </w:r>
    </w:p>
    <w:p w:rsidR="00D84D4B" w:rsidRDefault="00D84D4B">
      <w:pPr>
        <w:spacing w:after="200"/>
        <w:ind w:firstLine="567"/>
        <w:jc w:val="center"/>
        <w:rPr>
          <w:rFonts w:ascii="Times New Roman" w:eastAsia="Times New Roman" w:hAnsi="Times New Roman" w:cs="Times New Roman"/>
          <w:b/>
          <w:sz w:val="28"/>
          <w:szCs w:val="28"/>
        </w:rPr>
      </w:pPr>
    </w:p>
    <w:p w:rsidR="00D84D4B" w:rsidRDefault="00E24BC9">
      <w:pPr>
        <w:spacing w:after="200"/>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Discipline: «Mechanisms of Defense and Disease »</w:t>
      </w:r>
    </w:p>
    <w:p w:rsidR="00D84D4B" w:rsidRDefault="00D84D4B">
      <w:pPr>
        <w:spacing w:after="200"/>
        <w:ind w:firstLine="567"/>
        <w:jc w:val="both"/>
        <w:rPr>
          <w:rFonts w:ascii="Times New Roman" w:eastAsia="Times New Roman" w:hAnsi="Times New Roman" w:cs="Times New Roman"/>
          <w:b/>
          <w:sz w:val="28"/>
          <w:szCs w:val="28"/>
        </w:rPr>
      </w:pPr>
    </w:p>
    <w:p w:rsidR="00D84D4B" w:rsidRDefault="00E24BC9">
      <w:pPr>
        <w:spacing w:after="200"/>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Tasks for SIW, Schedule of their implementation, Methodical directions for them </w:t>
      </w:r>
    </w:p>
    <w:p w:rsidR="00D84D4B" w:rsidRDefault="00E24BC9">
      <w:pPr>
        <w:spacing w:after="200"/>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schedule of implementation of Student Independent Work (SIW)</w:t>
      </w:r>
    </w:p>
    <w:p w:rsidR="00D84D4B" w:rsidRDefault="00D84D4B">
      <w:pPr>
        <w:rPr>
          <w:b/>
        </w:rPr>
      </w:pPr>
    </w:p>
    <w:tbl>
      <w:tblPr>
        <w:tblStyle w:val="a5"/>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3570"/>
        <w:gridCol w:w="1995"/>
        <w:gridCol w:w="1755"/>
        <w:gridCol w:w="1185"/>
      </w:tblGrid>
      <w:tr w:rsidR="00D84D4B">
        <w:trPr>
          <w:trHeight w:val="1380"/>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70"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Tasks For SIW *</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of SIW**(study week)</w:t>
            </w:r>
          </w:p>
        </w:tc>
        <w:tc>
          <w:tcPr>
            <w:tcW w:w="175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form of  SIW</w:t>
            </w:r>
          </w:p>
        </w:tc>
        <w:tc>
          <w:tcPr>
            <w:tcW w:w="118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Score (points)</w:t>
            </w:r>
          </w:p>
          <w:p w:rsidR="00D84D4B" w:rsidRDefault="00D84D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D84D4B">
        <w:trPr>
          <w:trHeight w:val="1890"/>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Pharmacological treatment of arterial hypertension in children.</w:t>
            </w:r>
          </w:p>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Role of angiotensin-converting enzyme (ACE) and calcium channel blockers (CCBs) in pediatric practice. </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w:t>
            </w:r>
            <w:r>
              <w:rPr>
                <w:rFonts w:ascii="Times New Roman" w:eastAsia="Times New Roman" w:hAnsi="Times New Roman" w:cs="Times New Roman"/>
                <w:sz w:val="24"/>
                <w:szCs w:val="24"/>
              </w:rPr>
              <w:t xml:space="preserve">  Dari Kz. and FDA. Clinical Protocols</w:t>
            </w:r>
          </w:p>
          <w:p w:rsidR="00D84D4B" w:rsidRDefault="00D84D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380"/>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Implication of antibiotics use during the COVID-19 pandemic. </w:t>
            </w:r>
            <w:r>
              <w:rPr>
                <w:rFonts w:ascii="Times New Roman" w:eastAsia="Times New Roman" w:hAnsi="Times New Roman" w:cs="Times New Roman"/>
                <w:sz w:val="24"/>
                <w:szCs w:val="24"/>
              </w:rPr>
              <w:t>Clinical use of Azitromycine among the Covid-19 patients.</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950"/>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Use of non-steroidal anti-inflammatory drugs (NSAIDs) and triptans (serotonin 5HT1B/1D receptor agonists) for managing acute attacks of migraine. </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590"/>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70" w:type="dxa"/>
            <w:shd w:val="clear" w:color="auto" w:fill="auto"/>
            <w:tcMar>
              <w:top w:w="100" w:type="dxa"/>
              <w:left w:w="100" w:type="dxa"/>
              <w:bottom w:w="100" w:type="dxa"/>
              <w:right w:w="100" w:type="dxa"/>
            </w:tcMar>
          </w:tcPr>
          <w:p w:rsidR="00D84D4B" w:rsidRDefault="00E24BC9">
            <w:pPr>
              <w:widowControl w:val="0"/>
              <w:spacing w:line="3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Evaluation of effectiveness  supplementary drugs in case of treatment of  </w:t>
            </w:r>
            <w:r>
              <w:rPr>
                <w:rFonts w:ascii="Times New Roman" w:eastAsia="Times New Roman" w:hAnsi="Times New Roman" w:cs="Times New Roman"/>
                <w:sz w:val="24"/>
                <w:szCs w:val="24"/>
                <w:highlight w:val="white"/>
              </w:rPr>
              <w:t xml:space="preserve">primary biliary cholangitis (PBC)  corresponding to guidelines.  </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635"/>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Nutrition Intake of Calcium and Vitamin D and indication of  Antiresorptive drugs for patients with osteoporosis. </w:t>
            </w:r>
          </w:p>
          <w:p w:rsidR="00D84D4B" w:rsidRDefault="00D84D4B">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FFCF0"/>
              </w:rPr>
            </w:pP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605"/>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70" w:type="dxa"/>
            <w:shd w:val="clear" w:color="auto" w:fill="auto"/>
            <w:tcMar>
              <w:top w:w="100" w:type="dxa"/>
              <w:left w:w="100" w:type="dxa"/>
              <w:bottom w:w="100" w:type="dxa"/>
              <w:right w:w="100" w:type="dxa"/>
            </w:tcMar>
          </w:tcPr>
          <w:p w:rsidR="00D84D4B" w:rsidRDefault="00E24BC9">
            <w:pPr>
              <w:pStyle w:val="2"/>
              <w:keepNext w:val="0"/>
              <w:keepLines w:val="0"/>
              <w:widowControl w:val="0"/>
              <w:spacing w:after="80" w:line="240" w:lineRule="auto"/>
              <w:rPr>
                <w:rFonts w:ascii="Times New Roman" w:eastAsia="Times New Roman" w:hAnsi="Times New Roman" w:cs="Times New Roman"/>
                <w:sz w:val="24"/>
                <w:szCs w:val="24"/>
              </w:rPr>
            </w:pPr>
            <w:bookmarkStart w:id="1" w:name="_i7o4qf3l7q07" w:colFirst="0" w:colLast="0"/>
            <w:bookmarkEnd w:id="1"/>
            <w:r>
              <w:rPr>
                <w:rFonts w:ascii="Times New Roman" w:eastAsia="Times New Roman" w:hAnsi="Times New Roman" w:cs="Times New Roman"/>
                <w:sz w:val="24"/>
                <w:szCs w:val="24"/>
              </w:rPr>
              <w:t>Role of omalizumab (Xolair) in severe allergic adult asthma.</w:t>
            </w:r>
          </w:p>
          <w:p w:rsidR="00D84D4B" w:rsidRDefault="00D84D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590"/>
        </w:trPr>
        <w:tc>
          <w:tcPr>
            <w:tcW w:w="495" w:type="dxa"/>
            <w:shd w:val="clear" w:color="auto" w:fill="auto"/>
            <w:tcMar>
              <w:top w:w="100" w:type="dxa"/>
              <w:left w:w="100" w:type="dxa"/>
              <w:bottom w:w="100" w:type="dxa"/>
              <w:right w:w="100" w:type="dxa"/>
            </w:tcMar>
          </w:tcPr>
          <w:p w:rsidR="00D84D4B" w:rsidRDefault="00D84D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Hemorrhagic stroke and anticoagulation therapy</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530"/>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Vitamin D deficiency as a risk factor for severe COVID-19</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635"/>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Evaluation of treatment with  monoclonal antibodies  </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635"/>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 situation of treatment of  inflammatory arthritis in the Republic of Kazakhstan.</w:t>
            </w:r>
          </w:p>
          <w:p w:rsidR="00D84D4B" w:rsidRDefault="00D84D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650"/>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570" w:type="dxa"/>
            <w:shd w:val="clear" w:color="auto" w:fill="auto"/>
            <w:tcMar>
              <w:top w:w="100" w:type="dxa"/>
              <w:left w:w="100" w:type="dxa"/>
              <w:bottom w:w="100" w:type="dxa"/>
              <w:right w:w="100" w:type="dxa"/>
            </w:tcMar>
          </w:tcPr>
          <w:p w:rsidR="00D84D4B" w:rsidRDefault="00D84D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Hepatitis C in pregnancy. </w:t>
            </w:r>
            <w:r>
              <w:rPr>
                <w:rFonts w:ascii="Times New Roman" w:eastAsia="Times New Roman" w:hAnsi="Times New Roman" w:cs="Times New Roman"/>
                <w:sz w:val="24"/>
                <w:szCs w:val="24"/>
                <w:highlight w:val="white"/>
              </w:rPr>
              <w:t xml:space="preserve">Direct acting antivirals drug and Ribavirin’s teratogenic effects </w:t>
            </w:r>
          </w:p>
          <w:p w:rsidR="00D84D4B" w:rsidRDefault="00D84D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665"/>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Medical treatment of chronic alcoholic  Hepatitis in the Republic of Kazakhstan.</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650"/>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 of  vascular tonus by calcium channels in Arterial Hypertension.</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84D4B">
        <w:trPr>
          <w:trHeight w:val="1650"/>
        </w:trPr>
        <w:tc>
          <w:tcPr>
            <w:tcW w:w="49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570"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 treatment and diet relationship in DM</w:t>
            </w:r>
          </w:p>
        </w:tc>
        <w:tc>
          <w:tcPr>
            <w:tcW w:w="1995" w:type="dxa"/>
            <w:shd w:val="clear" w:color="auto" w:fill="auto"/>
            <w:tcMar>
              <w:top w:w="100" w:type="dxa"/>
              <w:left w:w="100" w:type="dxa"/>
              <w:bottom w:w="100" w:type="dxa"/>
              <w:right w:w="100" w:type="dxa"/>
            </w:tcMar>
          </w:tcPr>
          <w:p w:rsidR="00D84D4B" w:rsidRDefault="00E24BC9">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week of the course</w:t>
            </w:r>
          </w:p>
        </w:tc>
        <w:tc>
          <w:tcPr>
            <w:tcW w:w="1755" w:type="dxa"/>
            <w:shd w:val="clear" w:color="auto" w:fill="auto"/>
            <w:tcMar>
              <w:top w:w="100" w:type="dxa"/>
              <w:left w:w="100" w:type="dxa"/>
              <w:bottom w:w="100" w:type="dxa"/>
              <w:right w:w="100" w:type="dxa"/>
            </w:tcMar>
          </w:tcPr>
          <w:p w:rsidR="00D84D4B" w:rsidRDefault="00E24BC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PPT format, Analysis of original articles,  Comparison of  Dari Kz. and FDA. Clinical Protocols</w:t>
            </w:r>
          </w:p>
        </w:tc>
        <w:tc>
          <w:tcPr>
            <w:tcW w:w="1185" w:type="dxa"/>
            <w:shd w:val="clear" w:color="auto" w:fill="auto"/>
            <w:tcMar>
              <w:top w:w="100" w:type="dxa"/>
              <w:left w:w="100" w:type="dxa"/>
              <w:bottom w:w="100" w:type="dxa"/>
              <w:right w:w="100" w:type="dxa"/>
            </w:tcMar>
          </w:tcPr>
          <w:p w:rsidR="00D84D4B" w:rsidRDefault="00E24BC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D84D4B" w:rsidRDefault="00D84D4B"/>
    <w:p w:rsidR="00D84D4B" w:rsidRDefault="00E24BC9">
      <w:pPr>
        <w:spacing w:after="200" w:line="240" w:lineRule="auto"/>
        <w:jc w:val="both"/>
        <w:rPr>
          <w:rFonts w:ascii="Times New Roman" w:eastAsia="Times New Roman" w:hAnsi="Times New Roman" w:cs="Times New Roman"/>
          <w:sz w:val="24"/>
          <w:szCs w:val="24"/>
        </w:rPr>
      </w:pPr>
      <w:bookmarkStart w:id="2" w:name="_gjdgxs" w:colFirst="0" w:colLast="0"/>
      <w:bookmarkEnd w:id="2"/>
      <w:r>
        <w:rPr>
          <w:rFonts w:ascii="Times New Roman" w:eastAsia="Times New Roman" w:hAnsi="Times New Roman" w:cs="Times New Roman"/>
          <w:sz w:val="24"/>
          <w:szCs w:val="24"/>
        </w:rPr>
        <w:t>Independent work of students (ISW) - educational, methodical and research activities of students, performed by them independently in extracurricular time, according to the program of academic discipline. The ISW not only helps to absorb the educational mat</w:t>
      </w:r>
      <w:r>
        <w:rPr>
          <w:rFonts w:ascii="Times New Roman" w:eastAsia="Times New Roman" w:hAnsi="Times New Roman" w:cs="Times New Roman"/>
          <w:sz w:val="24"/>
          <w:szCs w:val="24"/>
        </w:rPr>
        <w:t>erial, but also generally contributes to the formation of the experience of educational, creative and research activities. For the implementation of the ISW, both the educational literature and sources recommended in the course are used, as well as indepen</w:t>
      </w:r>
      <w:r>
        <w:rPr>
          <w:rFonts w:ascii="Times New Roman" w:eastAsia="Times New Roman" w:hAnsi="Times New Roman" w:cs="Times New Roman"/>
          <w:sz w:val="24"/>
          <w:szCs w:val="24"/>
        </w:rPr>
        <w:t>dently found. ISW is delivered strictly on schedule. In case of good circumstances (if there is documentary evidence), the ISW can be accepted out of schedule.</w:t>
      </w:r>
    </w:p>
    <w:p w:rsidR="00D84D4B" w:rsidRDefault="00D84D4B">
      <w:pPr>
        <w:spacing w:after="200" w:line="240" w:lineRule="auto"/>
        <w:jc w:val="both"/>
        <w:rPr>
          <w:rFonts w:ascii="Times New Roman" w:eastAsia="Times New Roman" w:hAnsi="Times New Roman" w:cs="Times New Roman"/>
          <w:sz w:val="24"/>
          <w:szCs w:val="24"/>
        </w:rPr>
      </w:pPr>
      <w:bookmarkStart w:id="3" w:name="_f7nrzeggcek4" w:colFirst="0" w:colLast="0"/>
      <w:bookmarkEnd w:id="3"/>
    </w:p>
    <w:p w:rsidR="00D84D4B" w:rsidRDefault="00E24BC9">
      <w:pPr>
        <w:spacing w:after="200" w:line="240" w:lineRule="auto"/>
        <w:jc w:val="both"/>
        <w:rPr>
          <w:rFonts w:ascii="Times New Roman" w:eastAsia="Times New Roman" w:hAnsi="Times New Roman" w:cs="Times New Roman"/>
          <w:sz w:val="24"/>
          <w:szCs w:val="24"/>
        </w:rPr>
      </w:pPr>
      <w:bookmarkStart w:id="4" w:name="_5m1y09pvmgb8" w:colFirst="0" w:colLast="0"/>
      <w:bookmarkEnd w:id="4"/>
      <w:r>
        <w:rPr>
          <w:rFonts w:ascii="Times New Roman" w:eastAsia="Times New Roman" w:hAnsi="Times New Roman" w:cs="Times New Roman"/>
          <w:sz w:val="24"/>
          <w:szCs w:val="24"/>
        </w:rPr>
        <w:t>One SIW will be presented by one student.</w:t>
      </w:r>
    </w:p>
    <w:p w:rsidR="00D84D4B" w:rsidRDefault="00D84D4B"/>
    <w:p w:rsidR="00D84D4B" w:rsidRDefault="00D84D4B"/>
    <w:p w:rsidR="00D84D4B" w:rsidRDefault="00D84D4B"/>
    <w:p w:rsidR="00D84D4B" w:rsidRDefault="00D84D4B"/>
    <w:sectPr w:rsidR="00D84D4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D84D4B"/>
    <w:rsid w:val="00D84D4B"/>
    <w:rsid w:val="00E24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3681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Ноут6</dc:creator>
  <cp:lastModifiedBy>Ноут6</cp:lastModifiedBy>
  <cp:revision>2</cp:revision>
  <dcterms:created xsi:type="dcterms:W3CDTF">2022-01-16T08:47:00Z</dcterms:created>
  <dcterms:modified xsi:type="dcterms:W3CDTF">2022-01-16T08:47:00Z</dcterms:modified>
</cp:coreProperties>
</file>